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14BA2" w:rsidRDefault="00F14BA2" w:rsidP="00F14BA2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4B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proofErr w:type="gramStart"/>
      <w:r w:rsidRPr="00F14B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F14B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 рассказали про нежелательность</w:t>
      </w:r>
    </w:p>
    <w:p w:rsidR="00F14BA2" w:rsidRPr="00F14BA2" w:rsidRDefault="00F14BA2" w:rsidP="00F14BA2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F14B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сделок с собственником-банкротом</w:t>
      </w:r>
    </w:p>
    <w:p w:rsidR="00F14BA2" w:rsidRPr="00F14BA2" w:rsidRDefault="00F14BA2" w:rsidP="00F14BA2">
      <w:pPr>
        <w:suppressAutoHyphens/>
        <w:spacing w:after="12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</w:p>
    <w:p w:rsidR="00F14BA2" w:rsidRPr="00F14BA2" w:rsidRDefault="00F14BA2" w:rsidP="00F14BA2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F14BA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филиале ППК «Рос</w:t>
      </w:r>
      <w:r w:rsidR="007241FF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кадастр» по Красноярскому краю </w:t>
      </w:r>
      <w:r w:rsidRPr="00F14BA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ответили гражданину, который нашел подходя</w:t>
      </w:r>
      <w:r w:rsidR="007241FF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щую для покупки квартиру, но</w:t>
      </w:r>
      <w:r w:rsidRPr="00F14BA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люди по соседству подсказали ему, что собственник квартиры признан банкротом. Гражданина интересует, может этот факт как-то сказаться на сделке?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 </w:t>
      </w:r>
    </w:p>
    <w:p w:rsidR="00F14BA2" w:rsidRPr="00F14BA2" w:rsidRDefault="00F14BA2" w:rsidP="00F14BA2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Эксперты </w:t>
      </w:r>
      <w:proofErr w:type="gramStart"/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регионального</w:t>
      </w:r>
      <w:proofErr w:type="gramEnd"/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Роскадастра пояснили, что если собственник недвижимости признан банкротом, то потенциальному покупателю нужно учитывать следующие важные моменты:</w:t>
      </w:r>
    </w:p>
    <w:p w:rsidR="00F14BA2" w:rsidRPr="00F14BA2" w:rsidRDefault="00F14BA2" w:rsidP="00F14BA2">
      <w:pPr>
        <w:suppressAutoHyphens/>
        <w:spacing w:after="120" w:line="360" w:lineRule="auto"/>
        <w:ind w:left="360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- все сделки от имени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банкрота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могут осуществляться только финансовым управляющим, назначенным арбитражным су</w:t>
      </w:r>
      <w:r w:rsidR="007241F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дом;</w:t>
      </w:r>
    </w:p>
    <w:p w:rsidR="00F14BA2" w:rsidRPr="00F14BA2" w:rsidRDefault="00F14BA2" w:rsidP="00F14BA2">
      <w:pPr>
        <w:suppressAutoHyphens/>
        <w:spacing w:after="120" w:line="360" w:lineRule="auto"/>
        <w:ind w:left="720" w:hanging="436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-   реализация недвижимости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банкрота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всегда пр</w:t>
      </w:r>
      <w:r w:rsidR="007241F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оводится через процедуру торгов;</w:t>
      </w:r>
    </w:p>
    <w:p w:rsidR="00F14BA2" w:rsidRPr="00F14BA2" w:rsidRDefault="007241FF" w:rsidP="00F14BA2">
      <w:pPr>
        <w:suppressAutoHyphens/>
        <w:spacing w:after="120" w:line="360" w:lineRule="auto"/>
        <w:ind w:left="360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-  </w:t>
      </w:r>
      <w:r w:rsidR="00F14BA2"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любые сделки, заключенные банкротом, могут быть осп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орены в будущем третьими лицами;</w:t>
      </w:r>
    </w:p>
    <w:p w:rsidR="00F14BA2" w:rsidRPr="00F14BA2" w:rsidRDefault="00F14BA2" w:rsidP="00F14BA2">
      <w:pPr>
        <w:suppressAutoHyphens/>
        <w:spacing w:after="120" w:line="360" w:lineRule="auto"/>
        <w:ind w:left="360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- сделка купли-продажи, совершенная банкротом, может быть признана недействительной, а имущество, проданное должником, может быть возвращено преж</w:t>
      </w:r>
      <w:r w:rsidR="007241FF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нему владельцу по решению суда;</w:t>
      </w:r>
    </w:p>
    <w:p w:rsidR="00F14BA2" w:rsidRPr="00F14BA2" w:rsidRDefault="00F14BA2" w:rsidP="00F14BA2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F14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  <w:t>Подобных сделок следует избегать, поскольку приобретение недвижимости у физического лица, находящегося в состоянии банкротства, сопряжено с существенными рисками. Даже в случае успешной защиты прав</w:t>
      </w:r>
      <w:bookmarkStart w:id="0" w:name="_GoBack"/>
      <w:bookmarkEnd w:id="0"/>
      <w:r w:rsidRPr="00F14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покупателя на объект недвижимости, процесс оспаривания сделки может быть осложнен длительными судебными разбирательствами. </w:t>
      </w:r>
    </w:p>
    <w:p w:rsidR="00F14BA2" w:rsidRPr="00F14BA2" w:rsidRDefault="00F14BA2" w:rsidP="00F14BA2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  <w:t>Таким образом, что</w:t>
      </w:r>
      <w:r w:rsidR="0072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бы в дальнейшем избежать рисков</w:t>
      </w:r>
      <w:r w:rsidRPr="00F14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перед покупкой квартиры, гаража, земельного участка или иного объекта недвижимости продавца следует проверять, в том числе на наличие статуса банкрота. Сделать это можно 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обратившись к </w:t>
      </w:r>
      <w:hyperlink r:id="rId8" w:history="1">
        <w:r w:rsidRPr="00F14BA2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zh-CN"/>
          </w:rPr>
          <w:t>Единому федеральному реестру сведений о банкротстве</w:t>
        </w:r>
      </w:hyperlink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, в котором размещается информация о зарегистрированных банкротствах физических и юридических лиц. </w:t>
      </w:r>
    </w:p>
    <w:p w:rsidR="00F14BA2" w:rsidRPr="00F14BA2" w:rsidRDefault="00F14BA2" w:rsidP="00F14BA2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 xml:space="preserve">центров Роскадастра по Красноярскому краю. Получить информацию о порядке получения консультаций можно по единому телефону: </w:t>
      </w:r>
      <w:r w:rsidRPr="00F14BA2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8 (391) 202 69 41</w:t>
      </w:r>
      <w:r w:rsidRPr="00F14BA2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.</w:t>
      </w:r>
    </w:p>
    <w:p w:rsidR="00F14BA2" w:rsidRPr="00F14BA2" w:rsidRDefault="00F14BA2" w:rsidP="00F14BA2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82DE9" w:rsidRPr="00B82DE9" w:rsidRDefault="00B82DE9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687387" w:rsidRPr="00687387" w:rsidRDefault="00687387" w:rsidP="009D02C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7241FF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1FF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85932"/>
    <w:rsid w:val="009B1B17"/>
    <w:rsid w:val="009D02CA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200F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4BA2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DebtorsSearch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9602-2653-48BB-AC73-71DAD6B9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2025-10-16T00:51:00Z</dcterms:created>
  <dcterms:modified xsi:type="dcterms:W3CDTF">2025-10-16T00:57:00Z</dcterms:modified>
</cp:coreProperties>
</file>